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  <w:t>一、高职专任教师</w:t>
      </w:r>
    </w:p>
    <w:tbl>
      <w:tblPr>
        <w:tblW w:w="7380" w:type="dxa"/>
        <w:jc w:val="center"/>
        <w:tblInd w:w="5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224"/>
        <w:gridCol w:w="684"/>
        <w:gridCol w:w="3060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12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招聘部门</w:t>
            </w:r>
          </w:p>
        </w:tc>
        <w:tc>
          <w:tcPr>
            <w:tcW w:w="6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马克思主义学院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思想政治教育专业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中共党员，全日制博士研究生。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机电与汽车工程系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车辆工程、交通运输、汽车运用与维修等专业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具有5年及以上企业相关专业工作经历，并且具有企业项目经历者学历放宽至本科。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机电一体化工程、电气工程及其自动化、机械制造及其自动化等专业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控制科学与控制工程、控制理论与控制工程、模式识别与智能系统、检测技术与自动化装置、通信与信息系统等专业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经济管理系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会计学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具有注册会计师资格证或高级会计师职称的学历放宽至本科，年龄不超过45周岁。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信息工程系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艺术设计专业（三维动画方向）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了解游戏开发及虚拟现实技术者优先；具有3年及以上企业相关专业工作经历或项目经历者学历放宽至本科。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计算机科学与应用专业（云计算、大数据方向）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有相关技能证书者优先；具有3年及以上企业相关专业工作经历或项目经历者学历放宽至本科。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建筑工程与艺术设计系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建筑设计及其理论、城乡规划专业</w:t>
            </w:r>
          </w:p>
        </w:tc>
        <w:tc>
          <w:tcPr>
            <w:tcW w:w="19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建筑与土木工程专业的具有装配式建筑工作经验者优先；具有3年及以上企业相关专业工作经历或项目经历者学历放宽至本科。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建筑与土木工程专业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土木工程专业（桥梁与隧道工程方向）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影视学、新闻学、数字媒体艺术等专业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艺术设计（环境艺术设计方向）、景观设计、风景园林；</w:t>
            </w:r>
          </w:p>
        </w:tc>
        <w:tc>
          <w:tcPr>
            <w:tcW w:w="19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122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体育教学部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武术专业（拳类方向）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具有体育教育或运动训练专业背景，个人参加武术项目赛事获省级以上前三名者优先。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武术专业（器械类方向）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具有体育教育或运动训练专业背景，个人参加武术项目赛事获省级以上前三名者优先。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122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民族传统体育专业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具有体育教育或运动训练专业背景，个人参加民族传统体育项目赛事获省级以上前三名者优先。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国际教育学院、外事办（港澳台办）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汉语国际教育、中文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英语六级；有汉语国际教育教学经验者优先。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164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小计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23</w:t>
            </w:r>
          </w:p>
        </w:tc>
        <w:tc>
          <w:tcPr>
            <w:tcW w:w="3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  <w:t>二、中职专任教师</w:t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  <w:bdr w:val="none" w:color="auto" w:sz="0" w:space="0"/>
        </w:rPr>
        <w:t> </w:t>
      </w:r>
    </w:p>
    <w:tbl>
      <w:tblPr>
        <w:tblW w:w="7668" w:type="dxa"/>
        <w:jc w:val="center"/>
        <w:tblInd w:w="4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272"/>
        <w:gridCol w:w="708"/>
        <w:gridCol w:w="3180"/>
        <w:gridCol w:w="2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12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招聘部门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2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鹿寨分院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动画、数字媒体艺术、广告设计与制作、装潢艺术设计、艺术设计、影视摄影与制作、视觉传达设计、动漫设计与制作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具有平面设计、广告设计、动画设计等行业工作经历；有较强的绘画基础与设计能力者优先。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舞蹈表演、舞蹈表演与教育、舞蹈编导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具有舞蹈编导、表演与教学工作经历者优先。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音乐表演、音乐学、键盘乐器演奏、键盘乐器演奏、中国乐器演奏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从事学前教育专业钢琴、乐理、声乐教学工作者优先。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烹饪与营养教育；专科专业为烹饪工艺与营养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从事烹饪教学工作，有很强的实践经验者优先。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171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206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</w:tr>
    </w:tbl>
    <w:p>
      <w:pPr>
        <w:numPr>
          <w:ilvl w:val="0"/>
          <w:numId w:val="1"/>
        </w:numP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  <w:t>行政人员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789"/>
        <w:gridCol w:w="971"/>
        <w:gridCol w:w="594"/>
        <w:gridCol w:w="1316"/>
        <w:gridCol w:w="1251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7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招聘部门</w:t>
            </w:r>
          </w:p>
        </w:tc>
        <w:tc>
          <w:tcPr>
            <w:tcW w:w="9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岗位</w:t>
            </w:r>
          </w:p>
        </w:tc>
        <w:tc>
          <w:tcPr>
            <w:tcW w:w="5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3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12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  <w:tc>
          <w:tcPr>
            <w:tcW w:w="3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党政办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文书干事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中共党员；具有良好的沟通协调能力、组织管理能力、文字表达能力，具有责任意识、大局意识、担当意识、事业心强，乐于奉献，能够熟练操作各种办公软件；具有2年及以上基层党政管理工作经验者优先。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组织部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人事处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人事干事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人力资源管理、工商管理、行政管理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中共党员；对人事管理、职称工作、档案管理工作有一定了解，具备一定的文字功底和写作能力，能够熟练操作各种办公软件。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组织干事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中共党员；对党的理论知识、组织工作有一定了解，有一定的文字功底和写作能力；具有相关组织工作经验者优先。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党建、扶贫干事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中共党员；对党的理论知识、党建工作、扶贫工作、组织工作有一定了解，有一定的文字功底和写作能力；具有相关党建、扶贫工作经验者优先。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学生工作部（处）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易班管理干事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新闻学、思想政治教育、网络技术、计算机科学与技术等专业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中共党员；具有良好的政治素质、思想素质和道德品质，具有良好的服务意识和奉献精神，具有较强的组织管理和协调沟通能力，有较强的文字表达和写作能力；具有网络平台管理经验及计算机系统软件开发能力，熟练掌握网络新媒体的运用，有学生活动组织、策划能力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教学与科技管理处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学籍干事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教育学类专业（职业技术教育学、教育技术学等方向）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能吃苦耐劳，责任心强，能够熟练操作各种办公软件，有一定的表达沟通协调能力。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计财处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复核会计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会计、财务管理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爱岗敬业，具有良好的学习能力和写作精神，能熟练操作财务系统软件。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后勤与保卫处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食堂管理员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食品质量与安全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具备责任心强，工作细致，敢于管理的能力；具有相关管理类专业者、相关食品从业经验者优先。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7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质量办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副主任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博士研究生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教育学类（教育学原理、 课程与教学论、比较教育学、高等教育学、 成人教育学等研究方向）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了解高职教育趋势和特点，熟悉教学质量管理的常规工作，责任心强，善于沟通和组织协调，具有较强的服务意识和奉献精神，具备较强的督导、评教、评学、评管等质量监控信息收集、相关数据统计分析、数据信息反馈、撰写数据分析报告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7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干事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经济学、统计学、应用数学等相关专业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了解高职教育趋势和特点，责任心强，善于沟通宣传，具有较强的服务意识和奉献精神，具备较强的研究、分解各类评估或评价指标体系，撰写工作报告的能力，具备建设和管理部门网页工作能力。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国际教育学院、外事办（港澳台办）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汉语国际教育、中文类、英语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具有较强的沟通协调能力，具备较强的英语口语交流能力及公文写作能力。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  <w:jc w:val="center"/>
        </w:trPr>
        <w:tc>
          <w:tcPr>
            <w:tcW w:w="4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鹿寨分院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教学秘书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不限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具有较强的沟通协调能力，有一定的文字功底和写作能力，责任心强。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220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合计：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widowControl w:val="0"/>
        <w:numPr>
          <w:numId w:val="0"/>
        </w:numPr>
        <w:jc w:val="both"/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  <w:t>四、辅导员</w:t>
      </w:r>
      <w:bookmarkStart w:id="0" w:name="_GoBack"/>
      <w:bookmarkEnd w:id="0"/>
    </w:p>
    <w:tbl>
      <w:tblPr>
        <w:tblW w:w="7704" w:type="dxa"/>
        <w:jc w:val="center"/>
        <w:tblInd w:w="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992"/>
        <w:gridCol w:w="600"/>
        <w:gridCol w:w="1344"/>
        <w:gridCol w:w="33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4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号</w:t>
            </w:r>
          </w:p>
        </w:tc>
        <w:tc>
          <w:tcPr>
            <w:tcW w:w="1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招聘部门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招聘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人数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学历</w:t>
            </w:r>
          </w:p>
        </w:tc>
        <w:tc>
          <w:tcPr>
            <w:tcW w:w="33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经济管理系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公共管理、思政类、音乐类、舞蹈类、体育学类（民族传统体育学方向）等专业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建筑工程与艺术设计系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建筑类、艺术类、思政类等专业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信息工程系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计算机科学与技术类、艺术类、思政类等专业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师范教育系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全日制硕士研究生及以上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思政类、心理学类、舞蹈、中文、新闻等专业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4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国际教育学院、外事办（港澳台办）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全日制本科及以上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泰语、老挝语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243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小计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33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212121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12121"/>
          <w:spacing w:val="0"/>
          <w:kern w:val="0"/>
          <w:sz w:val="16"/>
          <w:szCs w:val="16"/>
          <w:bdr w:val="none" w:color="auto" w:sz="0" w:space="0"/>
          <w:lang w:val="en-US" w:eastAsia="zh-CN" w:bidi="ar"/>
        </w:rPr>
        <w:t> </w:t>
      </w:r>
    </w:p>
    <w:p>
      <w:pPr>
        <w:widowControl w:val="0"/>
        <w:numPr>
          <w:numId w:val="0"/>
        </w:numPr>
        <w:jc w:val="both"/>
        <w:rPr>
          <w:rStyle w:val="5"/>
          <w:rFonts w:hint="eastAsia" w:ascii="宋体" w:hAnsi="宋体" w:eastAsia="宋体" w:cs="宋体"/>
          <w:i w:val="0"/>
          <w:caps w:val="0"/>
          <w:color w:val="212121"/>
          <w:spacing w:val="0"/>
          <w:sz w:val="16"/>
          <w:szCs w:val="1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8DEDB"/>
    <w:multiLevelType w:val="singleLevel"/>
    <w:tmpl w:val="2D88DED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129B7"/>
    <w:rsid w:val="389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2019-07-31T01:49:00Z</dcterms:created>
  <dc:creator>张翠</dc:creator>
  <cp:lastModifiedBy>张翠</cp:lastModifiedBy>
  <dcterms:modified xsi:type="dcterms:W3CDTF">2019-07-31T01:53:05Z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