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72" w:rsidRPr="006E2D18" w:rsidRDefault="00A31D72" w:rsidP="00A31D72">
      <w:pPr>
        <w:pStyle w:val="a6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/>
          <w:color w:val="000000" w:themeColor="text1"/>
          <w:sz w:val="30"/>
          <w:szCs w:val="30"/>
        </w:rPr>
      </w:pPr>
      <w:r w:rsidRPr="006E2D18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  <w:r w:rsidR="009F7D2D"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bookmarkStart w:id="0" w:name="_GoBack"/>
      <w:bookmarkEnd w:id="0"/>
    </w:p>
    <w:p w:rsidR="00A31D72" w:rsidRPr="006E2D18" w:rsidRDefault="00A31D72" w:rsidP="00A31D72">
      <w:pPr>
        <w:pStyle w:val="a6"/>
        <w:widowControl w:val="0"/>
        <w:spacing w:beforeLines="50" w:before="297" w:beforeAutospacing="0" w:afterLines="50" w:after="297" w:afterAutospacing="0" w:line="400" w:lineRule="exact"/>
        <w:jc w:val="center"/>
        <w:rPr>
          <w:rFonts w:ascii="方正小标宋_GBK" w:eastAsia="方正小标宋_GBK" w:hAnsi="黑体" w:cs="Verdana"/>
          <w:color w:val="000000" w:themeColor="text1"/>
          <w:spacing w:val="14"/>
          <w:sz w:val="40"/>
          <w:szCs w:val="30"/>
          <w:shd w:val="clear" w:color="auto" w:fill="FFFFFF"/>
        </w:rPr>
      </w:pPr>
      <w:r w:rsidRPr="006E2D18">
        <w:rPr>
          <w:rFonts w:ascii="Times New Roman" w:eastAsia="方正小标宋_GBK" w:hAnsi="Times New Roman" w:cs="Times New Roman" w:hint="eastAsia"/>
          <w:color w:val="000000" w:themeColor="text1"/>
          <w:sz w:val="40"/>
          <w:szCs w:val="32"/>
        </w:rPr>
        <w:t>桂林航天工业学院</w:t>
      </w:r>
      <w:r w:rsidRPr="006E2D18">
        <w:rPr>
          <w:rFonts w:ascii="Times New Roman" w:eastAsia="方正小标宋_GBK" w:hAnsi="Times New Roman" w:cs="Times New Roman" w:hint="eastAsia"/>
          <w:color w:val="000000" w:themeColor="text1"/>
          <w:sz w:val="40"/>
          <w:szCs w:val="32"/>
        </w:rPr>
        <w:t>2019</w:t>
      </w:r>
      <w:r w:rsidRPr="006E2D18">
        <w:rPr>
          <w:rFonts w:ascii="方正小标宋_GBK" w:eastAsia="方正小标宋_GBK" w:hAnsi="黑体" w:hint="eastAsia"/>
          <w:color w:val="000000" w:themeColor="text1"/>
          <w:sz w:val="40"/>
          <w:szCs w:val="32"/>
        </w:rPr>
        <w:t>年度公开招聘工作人员岗位信息表</w:t>
      </w:r>
    </w:p>
    <w:tbl>
      <w:tblPr>
        <w:tblW w:w="5198" w:type="pct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913"/>
        <w:gridCol w:w="904"/>
        <w:gridCol w:w="553"/>
        <w:gridCol w:w="1050"/>
        <w:gridCol w:w="2632"/>
        <w:gridCol w:w="626"/>
        <w:gridCol w:w="1224"/>
        <w:gridCol w:w="1026"/>
        <w:gridCol w:w="806"/>
        <w:gridCol w:w="650"/>
        <w:gridCol w:w="1185"/>
        <w:gridCol w:w="830"/>
        <w:gridCol w:w="1044"/>
        <w:gridCol w:w="1356"/>
      </w:tblGrid>
      <w:tr w:rsidR="006E2D18" w:rsidRPr="006E2D18" w:rsidTr="00F00737">
        <w:trPr>
          <w:trHeight w:val="850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用人单位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岗位</w:t>
            </w:r>
          </w:p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专业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是否</w:t>
            </w:r>
          </w:p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年龄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考试</w:t>
            </w:r>
          </w:p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方式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用人方式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31D72" w:rsidRPr="006E2D18" w:rsidRDefault="00A31D72" w:rsidP="00A3567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:rsidR="006E2D18" w:rsidRPr="006E2D18" w:rsidTr="00F00737">
        <w:trPr>
          <w:trHeight w:val="640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机械电子工程、机械制造及其自动化、航空宇航制造工程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35671" w:rsidRPr="006E2D18" w:rsidRDefault="00A35671" w:rsidP="00EC6BA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 w:rsidR="003B5E13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周岁</w:t>
            </w:r>
            <w:r w:rsidR="003B5E13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及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513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力学、固体力学、一般力学与力学基础、空气动力学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35671" w:rsidRPr="006E2D18" w:rsidRDefault="00A35671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35671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35671" w:rsidRPr="006E2D18" w:rsidRDefault="00A35671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航空宇航制造工程、航空工程、飞行器设计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机械工程、机械电子工程、模式识别与智能系统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电子信息与自动化学院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测试计量技术及仪器、检测技术与自动化装置、精密仪器及机械、兵器工程、控制理论与控制工程、无线电物理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电子信息与自动化学院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电子科学与技术、飞行器设计、控制科学与工程、无线电物理、仪器科学与技术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07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电子信息与自动化学院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导航、制导与控制；机械制造及其自动化、信息与通信工程、航空宇航推进理论与工程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机械工程、车辆工程、交通运输工程、汽车运用工程、电气工程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机械工程、车辆工程、交通运输工程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能源与建筑环境学院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热能工程、化工过程机械、工程热物理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能源与建筑环境学院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结构工程、工程管理、工商管理（工程造价方向）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能源与建筑环境学院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动力工程；供热、供燃气、通风及空调工程；建筑与土木工程，热能与流体工程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计算机科学与工程学院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计算机应用技术、模式识别与智能系统、信号与信息处理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计算机科学与工程学院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计算机科学与技术、计算机系统工程、计算机系统结构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431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计算机科学与工程学院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机械电子工程、信号与信息处理、信息与通信工程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543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应用数学、基础数学、计算数学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724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数学、基础数学、应用数学、运筹学与控制论、凝聚态物理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286B9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实践教学部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控制工程、模式识别与智能系统、仪器科学与技术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实践教学部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物理电子学、电路与系统、电子科学与技术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工商管理、工业工程、控制工程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航空旅游学院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中国古代文学、播音与主持艺术、旅游管理、交通规划与运输管理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航空旅游学院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交通运输规划与管理、旅游管理、酒店管理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航空旅游学院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人文地理学、舞蹈学、播音与主持艺术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传媒与艺术设计学院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美术学、艺术设计学（交互设计方向或新媒体设计方向）、计算机应用技术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9C3A38" w:rsidRPr="006E2D18" w:rsidRDefault="009C3A38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  <w:p w:rsidR="003B5E13" w:rsidRPr="006E2D18" w:rsidRDefault="003B5E13" w:rsidP="0032034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 w:rsidR="00320340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传媒与艺术设计学院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25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美术学、艺术设计学、信息学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32034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 w:rsidR="00320340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体育教育训练学、社会体育指导、运动人体科学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665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外语外贸学院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27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翻译学、英语笔译、英语口译、英语语言文学、国际贸易学、国际贸易管理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马克思主义理论、马克思主义中国化、马克思主义基本原理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马克思主义理论、马克思主义中国化、马克思主义基本原理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体育学、体育教育、运动训练学、社会体育指导、民族传统体育学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国际教育学院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专任教师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对外汉语、汉语国际教育、教育学（TEFL方向）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试讲+考核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语言学及应用语言学、思想政治教育、物流管理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行政管理、中国少数民族经济、教育经济与管理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马克思主义理论、马克思主义基本原理、宪法学与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行政法学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35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思想政治教育、国外马克思主义研究、马克思主义中国化研究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美术学、汉语国际教育、工商管理、企业管理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898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学前教育学、比较教育学、成人教育学、课程与教学论、学科教学、体育人文社会学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689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车辆工程、航空宇航制造工程、地质工程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716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教学辅助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高等教育学、物理电子学、机械工程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中级及以上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教学辅助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物流工程、工业工程、会计学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教学辅助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英语语言文学、日语语言文学、外国语言学及应用语言学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462B0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教学辅助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工商管理、物流管理、工业工程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硕士研究生及以上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各二级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学院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教学辅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助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十二级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机械工程、航空宇航制造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工程、工程管理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 xml:space="preserve">生及以上 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40周岁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结构化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非实名人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44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行政管理部门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管理八级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学科教学、马克思主义哲学、人力资源管理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743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行政管理部门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管理九级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地质工程、土木工程、计算机科学与技术、农业信息化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32034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 w:rsidR="00320340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320340">
            <w:pPr>
              <w:widowControl/>
              <w:snapToGrid w:val="0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648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行政管理部门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管理九级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工商管理、会计学、教育经济与管理、数学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E2D18" w:rsidRPr="006E2D18" w:rsidTr="00F00737">
        <w:trPr>
          <w:trHeight w:val="820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行政管理部门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行政管理</w:t>
            </w:r>
            <w:r w:rsidR="00462B0E"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管理九级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马克思主义理论、思想政治教育、体育学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B5E13" w:rsidRPr="006E2D18" w:rsidRDefault="003B5E13" w:rsidP="00A356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36" w:type="pct"/>
            <w:shd w:val="clear" w:color="auto" w:fill="auto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1年及以上工作经历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结构化面试+考核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B5E13" w:rsidRPr="006E2D18" w:rsidRDefault="003B5E13" w:rsidP="009E09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22652C" w:rsidRPr="006E2D18" w:rsidRDefault="0022652C">
      <w:pPr>
        <w:rPr>
          <w:color w:val="000000" w:themeColor="text1"/>
        </w:rPr>
      </w:pPr>
    </w:p>
    <w:sectPr w:rsidR="0022652C" w:rsidRPr="006E2D18" w:rsidSect="00B436A4">
      <w:headerReference w:type="even" r:id="rId8"/>
      <w:headerReference w:type="default" r:id="rId9"/>
      <w:footerReference w:type="default" r:id="rId10"/>
      <w:pgSz w:w="16838" w:h="11906" w:orient="landscape" w:code="9"/>
      <w:pgMar w:top="567" w:right="1134" w:bottom="709" w:left="1134" w:header="851" w:footer="493" w:gutter="0"/>
      <w:cols w:space="425"/>
      <w:docGrid w:type="linesAndChars" w:linePitch="595" w:charSpace="4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C7" w:rsidRDefault="008752C7" w:rsidP="00A31D72">
      <w:r>
        <w:separator/>
      </w:r>
    </w:p>
  </w:endnote>
  <w:endnote w:type="continuationSeparator" w:id="0">
    <w:p w:rsidR="008752C7" w:rsidRDefault="008752C7" w:rsidP="00A3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A4" w:rsidRPr="00353296" w:rsidRDefault="00B436A4" w:rsidP="00A3567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353296">
      <w:rPr>
        <w:rStyle w:val="a5"/>
        <w:sz w:val="28"/>
        <w:szCs w:val="28"/>
      </w:rPr>
      <w:fldChar w:fldCharType="begin"/>
    </w:r>
    <w:r w:rsidRPr="00353296">
      <w:rPr>
        <w:rStyle w:val="a5"/>
        <w:sz w:val="28"/>
        <w:szCs w:val="28"/>
      </w:rPr>
      <w:instrText xml:space="preserve">PAGE  </w:instrText>
    </w:r>
    <w:r w:rsidRPr="00353296">
      <w:rPr>
        <w:rStyle w:val="a5"/>
        <w:sz w:val="28"/>
        <w:szCs w:val="28"/>
      </w:rPr>
      <w:fldChar w:fldCharType="separate"/>
    </w:r>
    <w:r w:rsidR="009F7D2D">
      <w:rPr>
        <w:rStyle w:val="a5"/>
        <w:noProof/>
        <w:sz w:val="28"/>
        <w:szCs w:val="28"/>
      </w:rPr>
      <w:t>1</w:t>
    </w:r>
    <w:r w:rsidRPr="00353296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436A4" w:rsidRDefault="00B436A4" w:rsidP="00A3567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C7" w:rsidRDefault="008752C7" w:rsidP="00A31D72">
      <w:r>
        <w:separator/>
      </w:r>
    </w:p>
  </w:footnote>
  <w:footnote w:type="continuationSeparator" w:id="0">
    <w:p w:rsidR="008752C7" w:rsidRDefault="008752C7" w:rsidP="00A3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C" w:rsidRDefault="00C42FCC" w:rsidP="00C42FC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C" w:rsidRDefault="00C42FCC" w:rsidP="00C42F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60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4"/>
    <w:rsid w:val="001A3EF5"/>
    <w:rsid w:val="001B32DC"/>
    <w:rsid w:val="001B5F5F"/>
    <w:rsid w:val="0022652C"/>
    <w:rsid w:val="00286B93"/>
    <w:rsid w:val="002E2B9C"/>
    <w:rsid w:val="00320340"/>
    <w:rsid w:val="00324EFF"/>
    <w:rsid w:val="00351089"/>
    <w:rsid w:val="003B5E13"/>
    <w:rsid w:val="003E5718"/>
    <w:rsid w:val="003E5807"/>
    <w:rsid w:val="00431CA1"/>
    <w:rsid w:val="00462B0E"/>
    <w:rsid w:val="006071CE"/>
    <w:rsid w:val="006E2D18"/>
    <w:rsid w:val="0073674D"/>
    <w:rsid w:val="00861DA4"/>
    <w:rsid w:val="008752C7"/>
    <w:rsid w:val="009841A4"/>
    <w:rsid w:val="009C3A38"/>
    <w:rsid w:val="009E09DF"/>
    <w:rsid w:val="009F7D2D"/>
    <w:rsid w:val="00A31D72"/>
    <w:rsid w:val="00A35671"/>
    <w:rsid w:val="00A76E37"/>
    <w:rsid w:val="00AF08EC"/>
    <w:rsid w:val="00B436A4"/>
    <w:rsid w:val="00B56B5D"/>
    <w:rsid w:val="00B6391D"/>
    <w:rsid w:val="00B6719C"/>
    <w:rsid w:val="00BF1A34"/>
    <w:rsid w:val="00C221FF"/>
    <w:rsid w:val="00C42FCC"/>
    <w:rsid w:val="00C72E04"/>
    <w:rsid w:val="00D01276"/>
    <w:rsid w:val="00EC6BA9"/>
    <w:rsid w:val="00F00737"/>
    <w:rsid w:val="00F6521C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72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D72"/>
    <w:rPr>
      <w:sz w:val="18"/>
      <w:szCs w:val="18"/>
    </w:rPr>
  </w:style>
  <w:style w:type="paragraph" w:styleId="a4">
    <w:name w:val="footer"/>
    <w:basedOn w:val="a"/>
    <w:link w:val="Char0"/>
    <w:unhideWhenUsed/>
    <w:rsid w:val="00A31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31D72"/>
    <w:rPr>
      <w:sz w:val="18"/>
      <w:szCs w:val="18"/>
    </w:rPr>
  </w:style>
  <w:style w:type="character" w:styleId="a5">
    <w:name w:val="page number"/>
    <w:basedOn w:val="a0"/>
    <w:rsid w:val="00A31D72"/>
  </w:style>
  <w:style w:type="paragraph" w:styleId="a6">
    <w:name w:val="Normal (Web)"/>
    <w:basedOn w:val="a"/>
    <w:rsid w:val="00A31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72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D72"/>
    <w:rPr>
      <w:sz w:val="18"/>
      <w:szCs w:val="18"/>
    </w:rPr>
  </w:style>
  <w:style w:type="paragraph" w:styleId="a4">
    <w:name w:val="footer"/>
    <w:basedOn w:val="a"/>
    <w:link w:val="Char0"/>
    <w:unhideWhenUsed/>
    <w:rsid w:val="00A31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31D72"/>
    <w:rPr>
      <w:sz w:val="18"/>
      <w:szCs w:val="18"/>
    </w:rPr>
  </w:style>
  <w:style w:type="character" w:styleId="a5">
    <w:name w:val="page number"/>
    <w:basedOn w:val="a0"/>
    <w:rsid w:val="00A31D72"/>
  </w:style>
  <w:style w:type="paragraph" w:styleId="a6">
    <w:name w:val="Normal (Web)"/>
    <w:basedOn w:val="a"/>
    <w:rsid w:val="00A31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09B4-9D44-445E-88A5-79A3268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742</Words>
  <Characters>4231</Characters>
  <Application>Microsoft Office Word</Application>
  <DocSecurity>0</DocSecurity>
  <Lines>35</Lines>
  <Paragraphs>9</Paragraphs>
  <ScaleCrop>false</ScaleCrop>
  <Company>Lenovo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71</cp:revision>
  <cp:lastPrinted>2019-06-25T09:11:00Z</cp:lastPrinted>
  <dcterms:created xsi:type="dcterms:W3CDTF">2019-06-12T02:51:00Z</dcterms:created>
  <dcterms:modified xsi:type="dcterms:W3CDTF">2019-06-26T09:12:00Z</dcterms:modified>
</cp:coreProperties>
</file>