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</w:rPr>
        <w:t>国务院研究室2018年拟录用公务员名单</w:t>
      </w:r>
    </w:p>
    <w:tbl>
      <w:tblPr>
        <w:tblW w:w="958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858"/>
        <w:gridCol w:w="958"/>
        <w:gridCol w:w="567"/>
        <w:gridCol w:w="2117"/>
        <w:gridCol w:w="769"/>
        <w:gridCol w:w="1112"/>
        <w:gridCol w:w="2020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tblCellSpacing w:w="15" w:type="dxa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8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拟录用职位</w:t>
            </w:r>
          </w:p>
        </w:tc>
        <w:tc>
          <w:tcPr>
            <w:tcW w:w="9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0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号</w:t>
            </w:r>
          </w:p>
        </w:tc>
        <w:tc>
          <w:tcPr>
            <w:tcW w:w="7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毕业院校</w:t>
            </w:r>
          </w:p>
        </w:tc>
        <w:tc>
          <w:tcPr>
            <w:tcW w:w="1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工作经历</w:t>
            </w:r>
          </w:p>
        </w:tc>
        <w:tc>
          <w:tcPr>
            <w:tcW w:w="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  <w:tblCellSpacing w:w="15" w:type="dxa"/>
        </w:trPr>
        <w:tc>
          <w:tcPr>
            <w:tcW w:w="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发展战略研究司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龚健健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145111790529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博士研究生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中国社会科学院研究生院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2015年7月至今中国电子科技集团公司电子科学研究院职员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6" w:hRule="atLeast"/>
          <w:tblCellSpacing w:w="15" w:type="dxa"/>
        </w:trPr>
        <w:tc>
          <w:tcPr>
            <w:tcW w:w="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信息研究司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刘一鸣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145111350625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2013年7月至2014年7月新疆维吾尔自治区团校干部；2016年7月至今中国兵器装备集团有限公司职员</w:t>
            </w:r>
          </w:p>
        </w:tc>
        <w:tc>
          <w:tcPr>
            <w:tcW w:w="53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035E"/>
    <w:rsid w:val="5222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2018-05-08T10:12:00Z</dcterms:created>
  <dc:creator>娜娜1413443272</dc:creator>
  <cp:lastModifiedBy>娜娜1413443272</cp:lastModifiedBy>
  <dcterms:modified xsi:type="dcterms:W3CDTF">2018-05-08T10:12:43Z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